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ind w:left="432" w:hanging="432"/>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Anexa 1 Lista de tarife</w:t>
      </w:r>
    </w:p>
    <w:p w:rsidR="00000000" w:rsidDel="00000000" w:rsidP="00000000" w:rsidRDefault="00000000" w:rsidRPr="00000000" w14:paraId="00000002">
      <w:pPr>
        <w:pStyle w:val="Heading1"/>
        <w:numPr>
          <w:ilvl w:val="0"/>
          <w:numId w:val="1"/>
        </w:numPr>
        <w:ind w:left="432" w:hanging="432"/>
        <w:jc w:val="center"/>
        <w:rPr>
          <w:rFonts w:ascii="Open Sans" w:cs="Open Sans" w:eastAsia="Open Sans" w:hAnsi="Open Sans"/>
          <w:b w:val="0"/>
          <w:bCs w:val="0"/>
          <w:sz w:val="24"/>
          <w:szCs w:val="24"/>
        </w:rPr>
      </w:pPr>
      <w:r w:rsidDel="00000000" w:rsidR="00000000" w:rsidRPr="00000000">
        <w:rPr>
          <w:rFonts w:ascii="Open Sans" w:cs="Open Sans" w:eastAsia="Open Sans" w:hAnsi="Open Sans"/>
          <w:b w:val="0"/>
          <w:bCs w:val="0"/>
          <w:sz w:val="24"/>
          <w:szCs w:val="24"/>
          <w:rtl w:val="0"/>
        </w:rPr>
        <w:t xml:space="preserve">La Contractul de Furnizare Servicii de Telefonie VoIP nr. {{nr_contract}} din {{data}}</w:t>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ind w:firstLine="432"/>
        <w:jc w:val="both"/>
        <w:rPr>
          <w:rFonts w:ascii="Calibri" w:cs="Calibri" w:eastAsia="Calibri" w:hAnsi="Calibri"/>
          <w:sz w:val="20"/>
          <w:szCs w:val="20"/>
        </w:rPr>
      </w:pPr>
      <w:r w:rsidDel="00000000" w:rsidR="00000000" w:rsidRPr="00000000">
        <w:rPr>
          <w:sz w:val="20"/>
          <w:szCs w:val="20"/>
          <w:rtl w:val="0"/>
        </w:rPr>
        <w:t xml:space="preserve">În baza prezentului contract, Voxbee oferă Beneficiarului Serviciul de comunicații electronice VoIP în următoarele condiții comerciale:</w:t>
      </w: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rtl w:val="0"/>
        </w:rPr>
      </w:r>
    </w:p>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1. Tarife de instalare:</w:t>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 taxa de instalare inițială = x euro </w:t>
      </w:r>
    </w:p>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 taxa de reconectare după suspendarea serviciului = 25 euro</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2. Abonamente lunare:</w:t>
      </w:r>
    </w:p>
    <w:p w:rsidR="00000000" w:rsidDel="00000000" w:rsidP="00000000" w:rsidRDefault="00000000" w:rsidRPr="00000000" w14:paraId="0000000C">
      <w:pPr>
        <w:jc w:val="both"/>
        <w:rPr>
          <w:i w:val="1"/>
          <w:iCs w:val="1"/>
          <w:sz w:val="18"/>
          <w:szCs w:val="18"/>
        </w:rPr>
      </w:pPr>
      <w:r w:rsidDel="00000000" w:rsidR="00000000" w:rsidRPr="00000000">
        <w:rPr>
          <w:rtl w:val="0"/>
        </w:rPr>
      </w:r>
    </w:p>
    <w:tbl>
      <w:tblPr>
        <w:tblStyle w:val="Table1"/>
        <w:tblW w:w="104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6"/>
        <w:gridCol w:w="5370"/>
        <w:gridCol w:w="1100"/>
        <w:gridCol w:w="1650"/>
        <w:tblGridChange w:id="0">
          <w:tblGrid>
            <w:gridCol w:w="2336"/>
            <w:gridCol w:w="5370"/>
            <w:gridCol w:w="1100"/>
            <w:gridCol w:w="1650"/>
          </w:tblGrid>
        </w:tblGridChange>
      </w:tblGrid>
      <w:tr>
        <w:trPr>
          <w:cantSplit w:val="0"/>
          <w:tblHeader w:val="0"/>
        </w:trPr>
        <w:tc>
          <w:tcPr/>
          <w:p w:rsidR="00000000" w:rsidDel="00000000" w:rsidP="00000000" w:rsidRDefault="00000000" w:rsidRPr="00000000" w14:paraId="0000000D">
            <w:pPr>
              <w:jc w:val="center"/>
              <w:rPr>
                <w:b w:val="1"/>
                <w:bCs w:val="1"/>
                <w:sz w:val="20"/>
                <w:szCs w:val="20"/>
              </w:rPr>
            </w:pPr>
            <w:r w:rsidDel="00000000" w:rsidR="00000000" w:rsidRPr="00000000">
              <w:rPr>
                <w:b w:val="1"/>
                <w:bCs w:val="1"/>
                <w:sz w:val="20"/>
                <w:szCs w:val="20"/>
                <w:rtl w:val="0"/>
              </w:rPr>
              <w:t xml:space="preserve">Denumire serviciu</w:t>
            </w:r>
          </w:p>
        </w:tc>
        <w:tc>
          <w:tcPr/>
          <w:p w:rsidR="00000000" w:rsidDel="00000000" w:rsidP="00000000" w:rsidRDefault="00000000" w:rsidRPr="00000000" w14:paraId="0000000E">
            <w:pPr>
              <w:jc w:val="center"/>
              <w:rPr>
                <w:b w:val="1"/>
                <w:bCs w:val="1"/>
                <w:sz w:val="20"/>
                <w:szCs w:val="20"/>
              </w:rPr>
            </w:pPr>
            <w:r w:rsidDel="00000000" w:rsidR="00000000" w:rsidRPr="00000000">
              <w:rPr>
                <w:b w:val="1"/>
                <w:bCs w:val="1"/>
                <w:sz w:val="20"/>
                <w:szCs w:val="20"/>
                <w:rtl w:val="0"/>
              </w:rPr>
              <w:t xml:space="preserve">Descriere serviciu</w:t>
            </w:r>
          </w:p>
        </w:tc>
        <w:tc>
          <w:tcPr/>
          <w:p w:rsidR="00000000" w:rsidDel="00000000" w:rsidP="00000000" w:rsidRDefault="00000000" w:rsidRPr="00000000" w14:paraId="0000000F">
            <w:pPr>
              <w:jc w:val="center"/>
              <w:rPr>
                <w:b w:val="1"/>
                <w:bCs w:val="1"/>
                <w:sz w:val="20"/>
                <w:szCs w:val="20"/>
              </w:rPr>
            </w:pPr>
            <w:r w:rsidDel="00000000" w:rsidR="00000000" w:rsidRPr="00000000">
              <w:rPr>
                <w:b w:val="1"/>
                <w:bCs w:val="1"/>
                <w:sz w:val="20"/>
                <w:szCs w:val="20"/>
                <w:rtl w:val="0"/>
              </w:rPr>
              <w:t xml:space="preserve">UM</w:t>
            </w:r>
          </w:p>
          <w:p w:rsidR="00000000" w:rsidDel="00000000" w:rsidP="00000000" w:rsidRDefault="00000000" w:rsidRPr="00000000" w14:paraId="00000010">
            <w:pPr>
              <w:jc w:val="center"/>
              <w:rPr>
                <w:b w:val="1"/>
                <w:bCs w:val="1"/>
                <w:sz w:val="20"/>
                <w:szCs w:val="20"/>
              </w:rPr>
            </w:pPr>
            <w:r w:rsidDel="00000000" w:rsidR="00000000" w:rsidRPr="00000000">
              <w:rPr>
                <w:b w:val="1"/>
                <w:bCs w:val="1"/>
                <w:sz w:val="20"/>
                <w:szCs w:val="20"/>
                <w:rtl w:val="0"/>
              </w:rPr>
              <w:t xml:space="preserve">(bucăți)</w:t>
            </w:r>
          </w:p>
        </w:tc>
        <w:tc>
          <w:tcPr/>
          <w:p w:rsidR="00000000" w:rsidDel="00000000" w:rsidP="00000000" w:rsidRDefault="00000000" w:rsidRPr="00000000" w14:paraId="00000011">
            <w:pPr>
              <w:jc w:val="center"/>
              <w:rPr>
                <w:b w:val="1"/>
                <w:bCs w:val="1"/>
                <w:sz w:val="20"/>
                <w:szCs w:val="20"/>
              </w:rPr>
            </w:pPr>
            <w:r w:rsidDel="00000000" w:rsidR="00000000" w:rsidRPr="00000000">
              <w:rPr>
                <w:b w:val="1"/>
                <w:bCs w:val="1"/>
                <w:sz w:val="20"/>
                <w:szCs w:val="20"/>
                <w:rtl w:val="0"/>
              </w:rPr>
              <w:t xml:space="preserve">Valoare</w:t>
            </w:r>
          </w:p>
          <w:p w:rsidR="00000000" w:rsidDel="00000000" w:rsidP="00000000" w:rsidRDefault="00000000" w:rsidRPr="00000000" w14:paraId="00000012">
            <w:pPr>
              <w:jc w:val="center"/>
              <w:rPr>
                <w:b w:val="1"/>
                <w:bCs w:val="1"/>
                <w:sz w:val="20"/>
                <w:szCs w:val="20"/>
              </w:rPr>
            </w:pPr>
            <w:r w:rsidDel="00000000" w:rsidR="00000000" w:rsidRPr="00000000">
              <w:rPr>
                <w:b w:val="1"/>
                <w:bCs w:val="1"/>
                <w:sz w:val="20"/>
                <w:szCs w:val="20"/>
                <w:rtl w:val="0"/>
              </w:rPr>
              <w:t xml:space="preserve">(€/UM/luna)</w:t>
            </w:r>
          </w:p>
        </w:tc>
      </w:tr>
      <w:tr>
        <w:trPr>
          <w:cantSplit w:val="0"/>
          <w:trHeight w:val="240" w:hRule="atLeast"/>
          <w:tblHeader w:val="0"/>
        </w:trPr>
        <w:tc>
          <w:tcPr/>
          <w:p w:rsidR="00000000" w:rsidDel="00000000" w:rsidP="00000000" w:rsidRDefault="00000000" w:rsidRPr="00000000" w14:paraId="00000013">
            <w:pPr>
              <w:jc w:val="center"/>
              <w:rPr>
                <w:sz w:val="20"/>
                <w:szCs w:val="20"/>
              </w:rPr>
            </w:pPr>
            <w:r w:rsidDel="00000000" w:rsidR="00000000" w:rsidRPr="00000000">
              <w:rPr>
                <w:sz w:val="20"/>
                <w:szCs w:val="20"/>
                <w:rtl w:val="0"/>
              </w:rPr>
              <w:t xml:space="preserve">SIP Trunk /</w:t>
            </w:r>
          </w:p>
          <w:p w:rsidR="00000000" w:rsidDel="00000000" w:rsidP="00000000" w:rsidRDefault="00000000" w:rsidRPr="00000000" w14:paraId="00000014">
            <w:pPr>
              <w:jc w:val="center"/>
              <w:rPr>
                <w:sz w:val="20"/>
                <w:szCs w:val="20"/>
              </w:rPr>
            </w:pPr>
            <w:r w:rsidDel="00000000" w:rsidR="00000000" w:rsidRPr="00000000">
              <w:rPr>
                <w:sz w:val="20"/>
                <w:szCs w:val="20"/>
                <w:rtl w:val="0"/>
              </w:rPr>
              <w:t xml:space="preserve">Linie Telefonica</w:t>
            </w:r>
          </w:p>
        </w:tc>
        <w:tc>
          <w:tcPr/>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{{descriere_serviciu}}</w:t>
            </w:r>
          </w:p>
          <w:p w:rsidR="00000000" w:rsidDel="00000000" w:rsidP="00000000" w:rsidRDefault="00000000" w:rsidRPr="00000000" w14:paraId="00000016">
            <w:pPr>
              <w:jc w:val="both"/>
              <w:rPr>
                <w:sz w:val="20"/>
                <w:szCs w:val="20"/>
              </w:rPr>
            </w:pPr>
            <w:r w:rsidDel="00000000" w:rsidR="00000000" w:rsidRPr="00000000">
              <w:rPr>
                <w:rtl w:val="0"/>
              </w:rPr>
            </w:r>
          </w:p>
        </w:tc>
        <w:tc>
          <w:tcPr/>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18">
            <w:pPr>
              <w:jc w:val="left"/>
              <w:rPr>
                <w:sz w:val="20"/>
                <w:szCs w:val="20"/>
              </w:rPr>
            </w:pPr>
            <w:r w:rsidDel="00000000" w:rsidR="00000000" w:rsidRPr="00000000">
              <w:rPr>
                <w:sz w:val="20"/>
                <w:szCs w:val="20"/>
                <w:rtl w:val="0"/>
              </w:rPr>
              <w:t xml:space="preserve">{{pret_serviciu}}</w:t>
            </w:r>
          </w:p>
        </w:tc>
      </w:tr>
      <w:tr>
        <w:trPr>
          <w:cantSplit w:val="0"/>
          <w:trHeight w:val="575" w:hRule="atLeast"/>
          <w:tblHeader w:val="0"/>
        </w:trPr>
        <w:tc>
          <w:tcPr/>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Numere de telefon</w:t>
            </w:r>
          </w:p>
          <w:p w:rsidR="00000000" w:rsidDel="00000000" w:rsidP="00000000" w:rsidRDefault="00000000" w:rsidRPr="00000000" w14:paraId="0000001A">
            <w:pPr>
              <w:jc w:val="center"/>
              <w:rPr>
                <w:sz w:val="20"/>
                <w:szCs w:val="20"/>
              </w:rPr>
            </w:pPr>
            <w:r w:rsidDel="00000000" w:rsidR="00000000" w:rsidRPr="00000000">
              <w:rPr>
                <w:sz w:val="20"/>
                <w:szCs w:val="20"/>
                <w:rtl w:val="0"/>
              </w:rPr>
              <w:t xml:space="preserve">alocate</w:t>
            </w:r>
          </w:p>
        </w:tc>
        <w:tc>
          <w:tcPr/>
          <w:p w:rsidR="00000000" w:rsidDel="00000000" w:rsidP="00000000" w:rsidRDefault="00000000" w:rsidRPr="00000000" w14:paraId="0000001B">
            <w:pPr>
              <w:jc w:val="left"/>
              <w:rPr>
                <w:sz w:val="20"/>
                <w:szCs w:val="20"/>
              </w:rPr>
            </w:pPr>
            <w:r w:rsidDel="00000000" w:rsidR="00000000" w:rsidRPr="00000000">
              <w:rPr>
                <w:sz w:val="20"/>
                <w:szCs w:val="20"/>
                <w:rtl w:val="0"/>
              </w:rPr>
              <w:t xml:space="preserve">{{numere_alocate}}, {{numere_portate}}</w:t>
            </w:r>
          </w:p>
        </w:tc>
        <w:tc>
          <w:tcPr/>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1D">
            <w:pPr>
              <w:jc w:val="center"/>
              <w:rPr>
                <w:sz w:val="20"/>
                <w:szCs w:val="20"/>
              </w:rPr>
            </w:pPr>
            <w:r w:rsidDel="00000000" w:rsidR="00000000" w:rsidRPr="00000000">
              <w:rPr>
                <w:sz w:val="20"/>
                <w:szCs w:val="20"/>
                <w:rtl w:val="0"/>
              </w:rPr>
              <w:t xml:space="preserve">{{pret_numere}}</w:t>
            </w:r>
          </w:p>
        </w:tc>
      </w:tr>
      <w:tr>
        <w:trPr>
          <w:cantSplit w:val="0"/>
          <w:tblHeader w:val="0"/>
        </w:trPr>
        <w:tc>
          <w:tcPr/>
          <w:p w:rsidR="00000000" w:rsidDel="00000000" w:rsidP="00000000" w:rsidRDefault="00000000" w:rsidRPr="00000000" w14:paraId="0000001E">
            <w:pPr>
              <w:jc w:val="center"/>
              <w:rPr>
                <w:sz w:val="20"/>
                <w:szCs w:val="20"/>
              </w:rPr>
            </w:pPr>
            <w:r w:rsidDel="00000000" w:rsidR="00000000" w:rsidRPr="00000000">
              <w:rPr>
                <w:sz w:val="20"/>
                <w:szCs w:val="20"/>
                <w:rtl w:val="0"/>
              </w:rPr>
              <w:t xml:space="preserve">Denumire serviciu suplimentar</w:t>
            </w:r>
          </w:p>
        </w:tc>
        <w:tc>
          <w:tcPr/>
          <w:p w:rsidR="00000000" w:rsidDel="00000000" w:rsidP="00000000" w:rsidRDefault="00000000" w:rsidRPr="00000000" w14:paraId="0000001F">
            <w:pPr>
              <w:jc w:val="both"/>
              <w:rPr>
                <w:sz w:val="20"/>
                <w:szCs w:val="20"/>
              </w:rPr>
            </w:pPr>
            <w:r w:rsidDel="00000000" w:rsidR="00000000" w:rsidRPr="00000000">
              <w:rPr>
                <w:sz w:val="20"/>
                <w:szCs w:val="20"/>
                <w:rtl w:val="0"/>
              </w:rPr>
              <w:t xml:space="preserve">{{descriere_serviciu_suplimentar}}</w:t>
            </w:r>
          </w:p>
        </w:tc>
        <w:tc>
          <w:tcPr/>
          <w:p w:rsidR="00000000" w:rsidDel="00000000" w:rsidP="00000000" w:rsidRDefault="00000000" w:rsidRPr="00000000" w14:paraId="00000020">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{{pret_serviciu_suplimentar}}</w:t>
            </w:r>
          </w:p>
        </w:tc>
      </w:tr>
      <w:tr>
        <w:trPr>
          <w:cantSplit w:val="0"/>
          <w:tblHeader w:val="0"/>
        </w:trPr>
        <w:tc>
          <w:tcPr/>
          <w:p w:rsidR="00000000" w:rsidDel="00000000" w:rsidP="00000000" w:rsidRDefault="00000000" w:rsidRPr="00000000" w14:paraId="00000022">
            <w:pPr>
              <w:jc w:val="center"/>
              <w:rPr>
                <w:sz w:val="20"/>
                <w:szCs w:val="20"/>
              </w:rPr>
            </w:pPr>
            <w:r w:rsidDel="00000000" w:rsidR="00000000" w:rsidRPr="00000000">
              <w:rPr>
                <w:rFonts w:ascii="Arial" w:cs="Arial" w:eastAsia="Arial" w:hAnsi="Arial"/>
                <w:sz w:val="20"/>
                <w:szCs w:val="20"/>
                <w:rtl w:val="0"/>
              </w:rPr>
              <w:t xml:space="preserve">Pachet minute naționale alocate</w:t>
            </w:r>
            <w:r w:rsidDel="00000000" w:rsidR="00000000" w:rsidRPr="00000000">
              <w:rPr>
                <w:rtl w:val="0"/>
              </w:rPr>
            </w:r>
          </w:p>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si</w:t>
            </w:r>
          </w:p>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tarife terminare</w:t>
            </w:r>
          </w:p>
        </w:tc>
        <w:tc>
          <w:tcPr/>
          <w:p w:rsidR="00000000" w:rsidDel="00000000" w:rsidP="00000000" w:rsidRDefault="00000000" w:rsidRPr="00000000" w14:paraId="00000025">
            <w:pPr>
              <w:jc w:val="both"/>
              <w:rPr>
                <w:sz w:val="20"/>
                <w:szCs w:val="20"/>
              </w:rPr>
            </w:pPr>
            <w:r w:rsidDel="00000000" w:rsidR="00000000" w:rsidRPr="00000000">
              <w:rPr>
                <w:rFonts w:ascii="Arial" w:cs="Arial" w:eastAsia="Arial" w:hAnsi="Arial"/>
                <w:sz w:val="20"/>
                <w:szCs w:val="20"/>
                <w:rtl w:val="0"/>
              </w:rPr>
              <w:t xml:space="preserve">Minute incluse lunar in rețelele naționale fix și mobil;</w:t>
            </w:r>
            <w:r w:rsidDel="00000000" w:rsidR="00000000" w:rsidRPr="00000000">
              <w:rPr>
                <w:rtl w:val="0"/>
              </w:rPr>
            </w:r>
          </w:p>
          <w:p w:rsidR="00000000" w:rsidDel="00000000" w:rsidP="00000000" w:rsidRDefault="00000000" w:rsidRPr="00000000" w14:paraId="00000026">
            <w:pPr>
              <w:jc w:val="both"/>
              <w:rPr>
                <w:sz w:val="20"/>
                <w:szCs w:val="20"/>
              </w:rPr>
            </w:pPr>
            <w:r w:rsidDel="00000000" w:rsidR="00000000" w:rsidRPr="00000000">
              <w:rPr>
                <w:sz w:val="20"/>
                <w:szCs w:val="20"/>
                <w:rtl w:val="0"/>
              </w:rPr>
              <w:t xml:space="preserve">Tarif depășire pachet minute incluse:</w:t>
            </w:r>
          </w:p>
          <w:p w:rsidR="00000000" w:rsidDel="00000000" w:rsidP="00000000" w:rsidRDefault="00000000" w:rsidRPr="00000000" w14:paraId="00000027">
            <w:pPr>
              <w:jc w:val="left"/>
              <w:rPr>
                <w:sz w:val="20"/>
                <w:szCs w:val="20"/>
              </w:rPr>
            </w:pPr>
            <w:r w:rsidDel="00000000" w:rsidR="00000000" w:rsidRPr="00000000">
              <w:rPr>
                <w:rFonts w:ascii="Arial" w:cs="Arial" w:eastAsia="Arial" w:hAnsi="Arial"/>
                <w:sz w:val="20"/>
                <w:szCs w:val="20"/>
                <w:rtl w:val="0"/>
              </w:rPr>
              <w:t xml:space="preserve">      - Rețele fixe naționale: 0,01 €/min</w:t>
            </w:r>
            <w:r w:rsidDel="00000000" w:rsidR="00000000" w:rsidRPr="00000000">
              <w:rPr>
                <w:rtl w:val="0"/>
              </w:rPr>
            </w:r>
          </w:p>
          <w:p w:rsidR="00000000" w:rsidDel="00000000" w:rsidP="00000000" w:rsidRDefault="00000000" w:rsidRPr="00000000" w14:paraId="00000028">
            <w:pPr>
              <w:jc w:val="left"/>
              <w:rPr>
                <w:sz w:val="20"/>
                <w:szCs w:val="20"/>
              </w:rPr>
            </w:pPr>
            <w:r w:rsidDel="00000000" w:rsidR="00000000" w:rsidRPr="00000000">
              <w:rPr>
                <w:rFonts w:ascii="Arial" w:cs="Arial" w:eastAsia="Arial" w:hAnsi="Arial"/>
                <w:sz w:val="20"/>
                <w:szCs w:val="20"/>
                <w:rtl w:val="0"/>
              </w:rPr>
              <w:t xml:space="preserve">      - Rețele mobile naționale: 0,02 €/min</w:t>
            </w:r>
            <w:r w:rsidDel="00000000" w:rsidR="00000000" w:rsidRPr="00000000">
              <w:rPr>
                <w:rtl w:val="0"/>
              </w:rPr>
            </w:r>
          </w:p>
        </w:tc>
        <w:tc>
          <w:tcPr/>
          <w:p w:rsidR="00000000" w:rsidDel="00000000" w:rsidP="00000000" w:rsidRDefault="00000000" w:rsidRPr="00000000" w14:paraId="00000029">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2A">
            <w:pPr>
              <w:jc w:val="center"/>
              <w:rPr>
                <w:sz w:val="20"/>
                <w:szCs w:val="20"/>
              </w:rPr>
            </w:pPr>
            <w:r w:rsidDel="00000000" w:rsidR="00000000" w:rsidRPr="00000000">
              <w:rPr>
                <w:rtl w:val="0"/>
              </w:rPr>
            </w:r>
          </w:p>
        </w:tc>
      </w:tr>
      <w:tr>
        <w:trPr>
          <w:cantSplit w:val="0"/>
          <w:trHeight w:val="251" w:hRule="atLeast"/>
          <w:tblHeader w:val="0"/>
        </w:trPr>
        <w:tc>
          <w:tcPr>
            <w:gridSpan w:val="3"/>
          </w:tcPr>
          <w:p w:rsidR="00000000" w:rsidDel="00000000" w:rsidP="00000000" w:rsidRDefault="00000000" w:rsidRPr="00000000" w14:paraId="0000002B">
            <w:pPr>
              <w:jc w:val="center"/>
              <w:rPr>
                <w:i w:val="1"/>
                <w:iCs w:val="1"/>
                <w:sz w:val="20"/>
                <w:szCs w:val="20"/>
              </w:rPr>
            </w:pPr>
            <w:r w:rsidDel="00000000" w:rsidR="00000000" w:rsidRPr="00000000">
              <w:rPr>
                <w:b w:val="1"/>
                <w:bCs w:val="1"/>
                <w:sz w:val="20"/>
                <w:szCs w:val="20"/>
                <w:rtl w:val="0"/>
              </w:rPr>
              <w:t xml:space="preserve">TOTAL (€/luna)</w:t>
            </w:r>
            <w:r w:rsidDel="00000000" w:rsidR="00000000" w:rsidRPr="00000000">
              <w:rPr>
                <w:rtl w:val="0"/>
              </w:rPr>
            </w:r>
          </w:p>
        </w:tc>
        <w:tc>
          <w:tcPr/>
          <w:p w:rsidR="00000000" w:rsidDel="00000000" w:rsidP="00000000" w:rsidRDefault="00000000" w:rsidRPr="00000000" w14:paraId="0000002E">
            <w:pPr>
              <w:jc w:val="center"/>
              <w:rPr>
                <w:b w:val="1"/>
                <w:bCs w:val="1"/>
                <w:sz w:val="20"/>
                <w:szCs w:val="20"/>
              </w:rPr>
            </w:pPr>
            <w:r w:rsidDel="00000000" w:rsidR="00000000" w:rsidRPr="00000000">
              <w:rPr>
                <w:b w:val="1"/>
                <w:bCs w:val="1"/>
                <w:sz w:val="20"/>
                <w:szCs w:val="20"/>
                <w:rtl w:val="0"/>
              </w:rPr>
              <w:t xml:space="preserve">{{pret_total}}</w:t>
            </w:r>
          </w:p>
        </w:tc>
      </w:tr>
    </w:tbl>
    <w:p w:rsidR="00000000" w:rsidDel="00000000" w:rsidP="00000000" w:rsidRDefault="00000000" w:rsidRPr="00000000" w14:paraId="0000002F">
      <w:pPr>
        <w:jc w:val="both"/>
        <w:rPr>
          <w:i w:val="1"/>
          <w:iCs w:val="1"/>
          <w:sz w:val="18"/>
          <w:szCs w:val="18"/>
        </w:rPr>
      </w:pPr>
      <w:r w:rsidDel="00000000" w:rsidR="00000000" w:rsidRPr="00000000">
        <w:rPr>
          <w:i w:val="1"/>
          <w:iCs w:val="1"/>
          <w:sz w:val="18"/>
          <w:szCs w:val="18"/>
          <w:rtl w:val="0"/>
        </w:rPr>
        <w:t xml:space="preserve">Preturile sunt exprimate in euro si nu includ TVA. </w:t>
      </w:r>
    </w:p>
    <w:p w:rsidR="00000000" w:rsidDel="00000000" w:rsidP="00000000" w:rsidRDefault="00000000" w:rsidRPr="00000000" w14:paraId="00000030">
      <w:pPr>
        <w:jc w:val="both"/>
        <w:rPr>
          <w:i w:val="1"/>
          <w:iCs w:val="1"/>
          <w:sz w:val="18"/>
          <w:szCs w:val="18"/>
        </w:rPr>
      </w:pPr>
      <w:r w:rsidDel="00000000" w:rsidR="00000000" w:rsidRPr="00000000">
        <w:rPr>
          <w:i w:val="1"/>
          <w:iCs w:val="1"/>
          <w:sz w:val="18"/>
          <w:szCs w:val="18"/>
          <w:rtl w:val="0"/>
        </w:rPr>
        <w:t xml:space="preserve">Primul minut este indivizibil. Tarifarea se realizează la secunda după primul minut. Pentru apeluri către servicii speciale sau premium, tariful este de 10 euro/min si nu se consuma din minutele disponibile in pachet. </w:t>
      </w:r>
    </w:p>
    <w:p w:rsidR="00000000" w:rsidDel="00000000" w:rsidP="00000000" w:rsidRDefault="00000000" w:rsidRPr="00000000" w14:paraId="00000031">
      <w:pPr>
        <w:jc w:val="both"/>
        <w:rPr>
          <w:rFonts w:ascii="Arial" w:cs="Arial" w:eastAsia="Arial" w:hAnsi="Arial"/>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0"/>
          <w:szCs w:val="20"/>
        </w:rPr>
      </w:pPr>
      <w:r w:rsidDel="00000000" w:rsidR="00000000" w:rsidRPr="00000000">
        <w:rPr>
          <w:sz w:val="20"/>
          <w:szCs w:val="20"/>
          <w:rtl w:val="0"/>
        </w:rPr>
        <w:t xml:space="preserve">Tarifele prevăzute nu includ TVA şi nici alte taxe sau impozite impuse de vreo autoritate, un guvern ori o agenție guvernamentală. În cazul în care vor exista astfel de taxe sau impozite, suma respectivă va fi adăugată la factură.</w:t>
      </w:r>
      <w:r w:rsidDel="00000000" w:rsidR="00000000" w:rsidRPr="00000000">
        <w:rPr>
          <w:rtl w:val="0"/>
        </w:rPr>
      </w:r>
    </w:p>
    <w:p w:rsidR="00000000" w:rsidDel="00000000" w:rsidP="00000000" w:rsidRDefault="00000000" w:rsidRPr="00000000" w14:paraId="00000033">
      <w:pPr>
        <w:jc w:val="both"/>
        <w:rPr>
          <w:sz w:val="20"/>
          <w:szCs w:val="20"/>
        </w:rPr>
      </w:pPr>
      <w:r w:rsidDel="00000000" w:rsidR="00000000" w:rsidRPr="00000000">
        <w:rPr>
          <w:rtl w:val="0"/>
        </w:rPr>
      </w:r>
    </w:p>
    <w:p w:rsidR="00000000" w:rsidDel="00000000" w:rsidP="00000000" w:rsidRDefault="00000000" w:rsidRPr="00000000" w14:paraId="00000034">
      <w:pPr>
        <w:jc w:val="both"/>
        <w:rPr>
          <w:sz w:val="20"/>
          <w:szCs w:val="20"/>
        </w:rPr>
      </w:pPr>
      <w:r w:rsidDel="00000000" w:rsidR="00000000" w:rsidRPr="00000000">
        <w:rPr>
          <w:sz w:val="20"/>
          <w:szCs w:val="20"/>
          <w:rtl w:val="0"/>
        </w:rPr>
        <w:t xml:space="preserve">Tarifele vor fi revizuite ori de câte ori este necesar. Tarifele vor rămâne in vigoare cu excepția cazului în care Prestatorul modifică preturile în conformitate cu termenii prezentului Acord. Prestatorul poate modifica tarifele sale prin notificare prealabila scrisă de treizeci (30) (sau altă perioadă agreată de Părţi) zile calendaristice transmisă celeilalte Părţi.</w:t>
      </w:r>
    </w:p>
    <w:p w:rsidR="00000000" w:rsidDel="00000000" w:rsidP="00000000" w:rsidRDefault="00000000" w:rsidRPr="00000000" w14:paraId="00000035">
      <w:pPr>
        <w:jc w:val="both"/>
        <w:rPr>
          <w:sz w:val="20"/>
          <w:szCs w:val="20"/>
        </w:rPr>
      </w:pPr>
      <w:r w:rsidDel="00000000" w:rsidR="00000000" w:rsidRPr="00000000">
        <w:rPr>
          <w:rtl w:val="0"/>
        </w:rPr>
      </w:r>
    </w:p>
    <w:p w:rsidR="00000000" w:rsidDel="00000000" w:rsidP="00000000" w:rsidRDefault="00000000" w:rsidRPr="00000000" w14:paraId="00000036">
      <w:pPr>
        <w:jc w:val="both"/>
        <w:rPr>
          <w:sz w:val="20"/>
          <w:szCs w:val="20"/>
        </w:rPr>
      </w:pPr>
      <w:r w:rsidDel="00000000" w:rsidR="00000000" w:rsidRPr="00000000">
        <w:rPr>
          <w:rFonts w:ascii="Arial" w:cs="Arial" w:eastAsia="Arial" w:hAnsi="Arial"/>
          <w:sz w:val="20"/>
          <w:szCs w:val="20"/>
          <w:rtl w:val="0"/>
        </w:rPr>
        <w:t xml:space="preserve">3. Tarife internaționale</w:t>
        <w:tab/>
      </w:r>
      <w:r w:rsidDel="00000000" w:rsidR="00000000" w:rsidRPr="00000000">
        <w:rPr>
          <w:rtl w:val="0"/>
        </w:rPr>
      </w:r>
    </w:p>
    <w:p w:rsidR="00000000" w:rsidDel="00000000" w:rsidP="00000000" w:rsidRDefault="00000000" w:rsidRPr="00000000" w14:paraId="00000037">
      <w:pPr>
        <w:tabs>
          <w:tab w:val="left" w:leader="none" w:pos="1950"/>
        </w:tabs>
        <w:jc w:val="both"/>
        <w:rPr>
          <w:b w:val="1"/>
          <w:bCs w:val="1"/>
          <w:sz w:val="20"/>
          <w:szCs w:val="20"/>
        </w:rPr>
      </w:pPr>
      <w:r w:rsidDel="00000000" w:rsidR="00000000" w:rsidRPr="00000000">
        <w:rPr>
          <w:rtl w:val="0"/>
        </w:rPr>
      </w:r>
    </w:p>
    <w:tbl>
      <w:tblPr>
        <w:tblStyle w:val="Table2"/>
        <w:tblW w:w="104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4"/>
        <w:gridCol w:w="3061"/>
        <w:gridCol w:w="1639"/>
        <w:tblGridChange w:id="0">
          <w:tblGrid>
            <w:gridCol w:w="5754"/>
            <w:gridCol w:w="3061"/>
            <w:gridCol w:w="1639"/>
          </w:tblGrid>
        </w:tblGridChange>
      </w:tblGrid>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8">
            <w:pPr>
              <w:jc w:val="both"/>
              <w:rPr>
                <w:b w:val="1"/>
                <w:bCs w:val="1"/>
                <w:sz w:val="20"/>
                <w:szCs w:val="20"/>
              </w:rPr>
            </w:pPr>
            <w:r w:rsidDel="00000000" w:rsidR="00000000" w:rsidRPr="00000000">
              <w:rPr>
                <w:b w:val="1"/>
                <w:bCs w:val="1"/>
                <w:sz w:val="20"/>
                <w:szCs w:val="20"/>
                <w:rtl w:val="0"/>
              </w:rPr>
              <w:t xml:space="preserve">Regiune / Tara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9">
            <w:pPr>
              <w:jc w:val="both"/>
              <w:rPr>
                <w:b w:val="1"/>
                <w:bCs w:val="1"/>
                <w:sz w:val="20"/>
                <w:szCs w:val="20"/>
              </w:rPr>
            </w:pPr>
            <w:r w:rsidDel="00000000" w:rsidR="00000000" w:rsidRPr="00000000">
              <w:rPr>
                <w:b w:val="1"/>
                <w:bCs w:val="1"/>
                <w:sz w:val="20"/>
                <w:szCs w:val="20"/>
                <w:rtl w:val="0"/>
              </w:rPr>
              <w:t xml:space="preserve">Fix / Mobil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A">
            <w:pPr>
              <w:jc w:val="both"/>
              <w:rPr>
                <w:b w:val="1"/>
                <w:bCs w:val="1"/>
                <w:sz w:val="20"/>
                <w:szCs w:val="20"/>
              </w:rPr>
            </w:pPr>
            <w:r w:rsidDel="00000000" w:rsidR="00000000" w:rsidRPr="00000000">
              <w:rPr>
                <w:b w:val="1"/>
                <w:bCs w:val="1"/>
                <w:sz w:val="20"/>
                <w:szCs w:val="20"/>
                <w:rtl w:val="0"/>
              </w:rPr>
              <w:t xml:space="preserve">Tarif / minut</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B">
            <w:pPr>
              <w:jc w:val="both"/>
              <w:rPr>
                <w:sz w:val="20"/>
                <w:szCs w:val="20"/>
              </w:rPr>
            </w:pPr>
            <w:r w:rsidDel="00000000" w:rsidR="00000000" w:rsidRPr="00000000">
              <w:rPr>
                <w:sz w:val="20"/>
                <w:szCs w:val="20"/>
                <w:rtl w:val="0"/>
              </w:rPr>
              <w:t xml:space="preserve">Europa (EU)</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C">
            <w:pPr>
              <w:jc w:val="both"/>
              <w:rPr>
                <w:sz w:val="20"/>
                <w:szCs w:val="20"/>
              </w:rPr>
            </w:pPr>
            <w:r w:rsidDel="00000000" w:rsidR="00000000" w:rsidRPr="00000000">
              <w:rPr>
                <w:sz w:val="20"/>
                <w:szCs w:val="20"/>
                <w:rtl w:val="0"/>
              </w:rPr>
              <w:t xml:space="preserve">fix</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D">
            <w:pPr>
              <w:jc w:val="both"/>
              <w:rPr>
                <w:sz w:val="20"/>
                <w:szCs w:val="20"/>
              </w:rPr>
            </w:pPr>
            <w:r w:rsidDel="00000000" w:rsidR="00000000" w:rsidRPr="00000000">
              <w:rPr>
                <w:sz w:val="20"/>
                <w:szCs w:val="20"/>
                <w:rtl w:val="0"/>
              </w:rPr>
              <w:t xml:space="preserve">0.025 €</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E">
            <w:pPr>
              <w:jc w:val="both"/>
              <w:rPr>
                <w:sz w:val="20"/>
                <w:szCs w:val="20"/>
              </w:rPr>
            </w:pPr>
            <w:r w:rsidDel="00000000" w:rsidR="00000000" w:rsidRPr="00000000">
              <w:rPr>
                <w:sz w:val="20"/>
                <w:szCs w:val="20"/>
                <w:rtl w:val="0"/>
              </w:rPr>
              <w:t xml:space="preserve">Europa (EU)</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F">
            <w:pPr>
              <w:jc w:val="both"/>
              <w:rPr>
                <w:sz w:val="20"/>
                <w:szCs w:val="20"/>
              </w:rPr>
            </w:pPr>
            <w:r w:rsidDel="00000000" w:rsidR="00000000" w:rsidRPr="00000000">
              <w:rPr>
                <w:sz w:val="20"/>
                <w:szCs w:val="20"/>
                <w:rtl w:val="0"/>
              </w:rPr>
              <w:t xml:space="preserve">mobil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0">
            <w:pPr>
              <w:jc w:val="both"/>
              <w:rPr>
                <w:sz w:val="20"/>
                <w:szCs w:val="20"/>
              </w:rPr>
            </w:pPr>
            <w:r w:rsidDel="00000000" w:rsidR="00000000" w:rsidRPr="00000000">
              <w:rPr>
                <w:sz w:val="20"/>
                <w:szCs w:val="20"/>
                <w:rtl w:val="0"/>
              </w:rPr>
              <w:t xml:space="preserve">0.050 €</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jc w:val="both"/>
              <w:rPr>
                <w:sz w:val="20"/>
                <w:szCs w:val="20"/>
              </w:rPr>
            </w:pPr>
            <w:r w:rsidDel="00000000" w:rsidR="00000000" w:rsidRPr="00000000">
              <w:rPr>
                <w:sz w:val="20"/>
                <w:szCs w:val="20"/>
                <w:rtl w:val="0"/>
              </w:rPr>
              <w:t xml:space="preserve">America de Nord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jc w:val="both"/>
              <w:rPr>
                <w:sz w:val="20"/>
                <w:szCs w:val="20"/>
              </w:rPr>
            </w:pPr>
            <w:r w:rsidDel="00000000" w:rsidR="00000000" w:rsidRPr="00000000">
              <w:rPr>
                <w:sz w:val="20"/>
                <w:szCs w:val="20"/>
                <w:rtl w:val="0"/>
              </w:rPr>
              <w:t xml:space="preserve">fix</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3">
            <w:pPr>
              <w:jc w:val="both"/>
              <w:rPr>
                <w:sz w:val="20"/>
                <w:szCs w:val="20"/>
              </w:rPr>
            </w:pPr>
            <w:r w:rsidDel="00000000" w:rsidR="00000000" w:rsidRPr="00000000">
              <w:rPr>
                <w:sz w:val="20"/>
                <w:szCs w:val="20"/>
                <w:rtl w:val="0"/>
              </w:rPr>
              <w:t xml:space="preserve">0.025 €</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4">
            <w:pPr>
              <w:jc w:val="both"/>
              <w:rPr>
                <w:sz w:val="20"/>
                <w:szCs w:val="20"/>
              </w:rPr>
            </w:pPr>
            <w:r w:rsidDel="00000000" w:rsidR="00000000" w:rsidRPr="00000000">
              <w:rPr>
                <w:sz w:val="20"/>
                <w:szCs w:val="20"/>
                <w:rtl w:val="0"/>
              </w:rPr>
              <w:t xml:space="preserve">America de Nord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5">
            <w:pPr>
              <w:jc w:val="both"/>
              <w:rPr>
                <w:sz w:val="20"/>
                <w:szCs w:val="20"/>
              </w:rPr>
            </w:pPr>
            <w:r w:rsidDel="00000000" w:rsidR="00000000" w:rsidRPr="00000000">
              <w:rPr>
                <w:sz w:val="20"/>
                <w:szCs w:val="20"/>
                <w:rtl w:val="0"/>
              </w:rPr>
              <w:t xml:space="preserve">mobil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6">
            <w:pPr>
              <w:jc w:val="both"/>
              <w:rPr>
                <w:sz w:val="20"/>
                <w:szCs w:val="20"/>
              </w:rPr>
            </w:pPr>
            <w:r w:rsidDel="00000000" w:rsidR="00000000" w:rsidRPr="00000000">
              <w:rPr>
                <w:sz w:val="20"/>
                <w:szCs w:val="20"/>
                <w:rtl w:val="0"/>
              </w:rPr>
              <w:t xml:space="preserve">0.050 €</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7">
            <w:pPr>
              <w:jc w:val="both"/>
              <w:rPr>
                <w:sz w:val="20"/>
                <w:szCs w:val="20"/>
              </w:rPr>
            </w:pPr>
            <w:r w:rsidDel="00000000" w:rsidR="00000000" w:rsidRPr="00000000">
              <w:rPr>
                <w:sz w:val="20"/>
                <w:szCs w:val="20"/>
                <w:rtl w:val="0"/>
              </w:rPr>
              <w:t xml:space="preserve">Europa (NON-EU)</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8">
            <w:pPr>
              <w:jc w:val="both"/>
              <w:rPr>
                <w:sz w:val="20"/>
                <w:szCs w:val="20"/>
              </w:rPr>
            </w:pPr>
            <w:r w:rsidDel="00000000" w:rsidR="00000000" w:rsidRPr="00000000">
              <w:rPr>
                <w:sz w:val="20"/>
                <w:szCs w:val="20"/>
                <w:rtl w:val="0"/>
              </w:rPr>
              <w:t xml:space="preserve">fix</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9">
            <w:pPr>
              <w:jc w:val="both"/>
              <w:rPr>
                <w:sz w:val="20"/>
                <w:szCs w:val="20"/>
              </w:rPr>
            </w:pPr>
            <w:r w:rsidDel="00000000" w:rsidR="00000000" w:rsidRPr="00000000">
              <w:rPr>
                <w:sz w:val="20"/>
                <w:szCs w:val="20"/>
                <w:rtl w:val="0"/>
              </w:rPr>
              <w:t xml:space="preserve">0.100 €</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A">
            <w:pPr>
              <w:jc w:val="both"/>
              <w:rPr>
                <w:sz w:val="20"/>
                <w:szCs w:val="20"/>
              </w:rPr>
            </w:pPr>
            <w:r w:rsidDel="00000000" w:rsidR="00000000" w:rsidRPr="00000000">
              <w:rPr>
                <w:sz w:val="20"/>
                <w:szCs w:val="20"/>
                <w:rtl w:val="0"/>
              </w:rPr>
              <w:t xml:space="preserve">Europa (NON-EU)</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B">
            <w:pPr>
              <w:jc w:val="both"/>
              <w:rPr>
                <w:sz w:val="20"/>
                <w:szCs w:val="20"/>
              </w:rPr>
            </w:pPr>
            <w:r w:rsidDel="00000000" w:rsidR="00000000" w:rsidRPr="00000000">
              <w:rPr>
                <w:sz w:val="20"/>
                <w:szCs w:val="20"/>
                <w:rtl w:val="0"/>
              </w:rPr>
              <w:t xml:space="preserve">mobil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C">
            <w:pPr>
              <w:jc w:val="both"/>
              <w:rPr>
                <w:sz w:val="20"/>
                <w:szCs w:val="20"/>
              </w:rPr>
            </w:pPr>
            <w:r w:rsidDel="00000000" w:rsidR="00000000" w:rsidRPr="00000000">
              <w:rPr>
                <w:sz w:val="20"/>
                <w:szCs w:val="20"/>
                <w:rtl w:val="0"/>
              </w:rPr>
              <w:t xml:space="preserve">0.250 €</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D">
            <w:pPr>
              <w:jc w:val="both"/>
              <w:rPr>
                <w:sz w:val="20"/>
                <w:szCs w:val="20"/>
              </w:rPr>
            </w:pPr>
            <w:r w:rsidDel="00000000" w:rsidR="00000000" w:rsidRPr="00000000">
              <w:rPr>
                <w:sz w:val="20"/>
                <w:szCs w:val="20"/>
                <w:rtl w:val="0"/>
              </w:rPr>
              <w:t xml:space="preserve">Asia, Israel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E">
            <w:pPr>
              <w:jc w:val="both"/>
              <w:rPr>
                <w:sz w:val="20"/>
                <w:szCs w:val="20"/>
              </w:rPr>
            </w:pPr>
            <w:r w:rsidDel="00000000" w:rsidR="00000000" w:rsidRPr="00000000">
              <w:rPr>
                <w:sz w:val="20"/>
                <w:szCs w:val="20"/>
                <w:rtl w:val="0"/>
              </w:rPr>
              <w:t xml:space="preserve">fix</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F">
            <w:pPr>
              <w:jc w:val="both"/>
              <w:rPr>
                <w:sz w:val="20"/>
                <w:szCs w:val="20"/>
              </w:rPr>
            </w:pPr>
            <w:r w:rsidDel="00000000" w:rsidR="00000000" w:rsidRPr="00000000">
              <w:rPr>
                <w:sz w:val="20"/>
                <w:szCs w:val="20"/>
                <w:rtl w:val="0"/>
              </w:rPr>
              <w:t xml:space="preserve">0.050 €</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0">
            <w:pPr>
              <w:jc w:val="both"/>
              <w:rPr>
                <w:sz w:val="20"/>
                <w:szCs w:val="20"/>
              </w:rPr>
            </w:pPr>
            <w:r w:rsidDel="00000000" w:rsidR="00000000" w:rsidRPr="00000000">
              <w:rPr>
                <w:sz w:val="20"/>
                <w:szCs w:val="20"/>
                <w:rtl w:val="0"/>
              </w:rPr>
              <w:t xml:space="preserve">Asia, Israel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1">
            <w:pPr>
              <w:jc w:val="both"/>
              <w:rPr>
                <w:sz w:val="20"/>
                <w:szCs w:val="20"/>
              </w:rPr>
            </w:pPr>
            <w:r w:rsidDel="00000000" w:rsidR="00000000" w:rsidRPr="00000000">
              <w:rPr>
                <w:sz w:val="20"/>
                <w:szCs w:val="20"/>
                <w:rtl w:val="0"/>
              </w:rPr>
              <w:t xml:space="preserve">mobil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2">
            <w:pPr>
              <w:jc w:val="both"/>
              <w:rPr>
                <w:sz w:val="20"/>
                <w:szCs w:val="20"/>
              </w:rPr>
            </w:pPr>
            <w:r w:rsidDel="00000000" w:rsidR="00000000" w:rsidRPr="00000000">
              <w:rPr>
                <w:sz w:val="20"/>
                <w:szCs w:val="20"/>
                <w:rtl w:val="0"/>
              </w:rPr>
              <w:t xml:space="preserve">0.100 €</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3">
            <w:pPr>
              <w:jc w:val="both"/>
              <w:rPr>
                <w:sz w:val="20"/>
                <w:szCs w:val="20"/>
              </w:rPr>
            </w:pPr>
            <w:r w:rsidDel="00000000" w:rsidR="00000000" w:rsidRPr="00000000">
              <w:rPr>
                <w:sz w:val="20"/>
                <w:szCs w:val="20"/>
                <w:rtl w:val="0"/>
              </w:rPr>
              <w:t xml:space="preserve">Africa, America Centrala si de Sud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4">
            <w:pPr>
              <w:jc w:val="both"/>
              <w:rPr>
                <w:sz w:val="20"/>
                <w:szCs w:val="20"/>
              </w:rPr>
            </w:pPr>
            <w:r w:rsidDel="00000000" w:rsidR="00000000" w:rsidRPr="00000000">
              <w:rPr>
                <w:sz w:val="20"/>
                <w:szCs w:val="20"/>
                <w:rtl w:val="0"/>
              </w:rPr>
              <w:t xml:space="preserve">fix</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5">
            <w:pPr>
              <w:jc w:val="both"/>
              <w:rPr>
                <w:sz w:val="20"/>
                <w:szCs w:val="20"/>
              </w:rPr>
            </w:pPr>
            <w:r w:rsidDel="00000000" w:rsidR="00000000" w:rsidRPr="00000000">
              <w:rPr>
                <w:sz w:val="20"/>
                <w:szCs w:val="20"/>
                <w:rtl w:val="0"/>
              </w:rPr>
              <w:t xml:space="preserve">0.450 €</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6">
            <w:pPr>
              <w:jc w:val="both"/>
              <w:rPr>
                <w:sz w:val="20"/>
                <w:szCs w:val="20"/>
              </w:rPr>
            </w:pPr>
            <w:r w:rsidDel="00000000" w:rsidR="00000000" w:rsidRPr="00000000">
              <w:rPr>
                <w:sz w:val="20"/>
                <w:szCs w:val="20"/>
                <w:rtl w:val="0"/>
              </w:rPr>
              <w:t xml:space="preserve">Africa, America Centrala si de Sud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7">
            <w:pPr>
              <w:jc w:val="both"/>
              <w:rPr>
                <w:sz w:val="20"/>
                <w:szCs w:val="20"/>
              </w:rPr>
            </w:pPr>
            <w:r w:rsidDel="00000000" w:rsidR="00000000" w:rsidRPr="00000000">
              <w:rPr>
                <w:sz w:val="20"/>
                <w:szCs w:val="20"/>
                <w:rtl w:val="0"/>
              </w:rPr>
              <w:t xml:space="preserve">mobil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8">
            <w:pPr>
              <w:jc w:val="both"/>
              <w:rPr>
                <w:sz w:val="20"/>
                <w:szCs w:val="20"/>
              </w:rPr>
            </w:pPr>
            <w:r w:rsidDel="00000000" w:rsidR="00000000" w:rsidRPr="00000000">
              <w:rPr>
                <w:sz w:val="20"/>
                <w:szCs w:val="20"/>
                <w:rtl w:val="0"/>
              </w:rPr>
              <w:t xml:space="preserve">0.450 €</w:t>
            </w:r>
          </w:p>
        </w:tc>
      </w:tr>
    </w:tbl>
    <w:p w:rsidR="00000000" w:rsidDel="00000000" w:rsidP="00000000" w:rsidRDefault="00000000" w:rsidRPr="00000000" w14:paraId="00000059">
      <w:pPr>
        <w:jc w:val="both"/>
        <w:rPr>
          <w:sz w:val="20"/>
          <w:szCs w:val="20"/>
        </w:rPr>
      </w:pPr>
      <w:r w:rsidDel="00000000" w:rsidR="00000000" w:rsidRPr="00000000">
        <w:rPr>
          <w:rtl w:val="0"/>
        </w:rPr>
      </w:r>
    </w:p>
    <w:p w:rsidR="00000000" w:rsidDel="00000000" w:rsidP="00000000" w:rsidRDefault="00000000" w:rsidRPr="00000000" w14:paraId="0000005A">
      <w:pPr>
        <w:jc w:val="both"/>
        <w:rPr>
          <w:sz w:val="20"/>
          <w:szCs w:val="20"/>
        </w:rPr>
      </w:pPr>
      <w:r w:rsidDel="00000000" w:rsidR="00000000" w:rsidRPr="00000000">
        <w:rPr>
          <w:sz w:val="20"/>
          <w:szCs w:val="20"/>
          <w:rtl w:val="0"/>
        </w:rPr>
        <w:t xml:space="preserve">Europa (EU): Andorra, Austria, Belgia, Bulgaria, Cehia, Cipru, Croatia, Danemarca, Elvetia, Estonia, Feroe, Finlanda, Franta,Germania, Grecia, Groenlanda, Ins Canare Spania, Irlanda, Islanda, Israel, Italia, Letonia, Liechtenstein, Lituania, Luxemburg, Malta, Marea Britanie, Moldova, Monaco, Norvegia, Olanda, Polonia, Portugalia, San Marino, Slovacia, Slovenia, Spania, Suedia, Ungaria, Vatican City</w:t>
      </w:r>
    </w:p>
    <w:p w:rsidR="00000000" w:rsidDel="00000000" w:rsidP="00000000" w:rsidRDefault="00000000" w:rsidRPr="00000000" w14:paraId="0000005B">
      <w:pPr>
        <w:jc w:val="both"/>
        <w:rPr>
          <w:sz w:val="20"/>
          <w:szCs w:val="20"/>
        </w:rPr>
      </w:pPr>
      <w:r w:rsidDel="00000000" w:rsidR="00000000" w:rsidRPr="00000000">
        <w:rPr>
          <w:sz w:val="20"/>
          <w:szCs w:val="20"/>
          <w:rtl w:val="0"/>
        </w:rPr>
        <w:t xml:space="preserve">Europa (NON-EU): Albania, Armenia, Azerbaidjan, Belarus, Bosnia Hertegovina, Georgia, Gibraltar, Macedonia, Rep Srpska, Rusia, Serbia, Muntenegru, Turcia, Ucraina.</w:t>
      </w:r>
    </w:p>
    <w:p w:rsidR="00000000" w:rsidDel="00000000" w:rsidP="00000000" w:rsidRDefault="00000000" w:rsidRPr="00000000" w14:paraId="0000005C">
      <w:pPr>
        <w:jc w:val="both"/>
        <w:rPr>
          <w:sz w:val="20"/>
          <w:szCs w:val="20"/>
        </w:rPr>
      </w:pPr>
      <w:r w:rsidDel="00000000" w:rsidR="00000000" w:rsidRPr="00000000">
        <w:rPr>
          <w:sz w:val="20"/>
          <w:szCs w:val="20"/>
          <w:rtl w:val="0"/>
        </w:rPr>
        <w:t xml:space="preserve">America de Nord: Canada, SUA Alaska, SUA Hawaii, SUA Puerto Rico, SUA Virgine Am, Statele Unite</w:t>
      </w:r>
    </w:p>
    <w:p w:rsidR="00000000" w:rsidDel="00000000" w:rsidP="00000000" w:rsidRDefault="00000000" w:rsidRPr="00000000" w14:paraId="0000005D">
      <w:pPr>
        <w:jc w:val="both"/>
        <w:rPr>
          <w:sz w:val="20"/>
          <w:szCs w:val="20"/>
        </w:rPr>
      </w:pPr>
      <w:r w:rsidDel="00000000" w:rsidR="00000000" w:rsidRPr="00000000">
        <w:rPr>
          <w:sz w:val="20"/>
          <w:szCs w:val="20"/>
          <w:rtl w:val="0"/>
        </w:rPr>
        <w:t xml:space="preserve">Asia: Afganistan, Bangladesh, Buthan, Cambodgia, India, Iran, Kazakhstan, Kyrghistan, Laos, Mongolia, Myanmar, Nepal, Pakistan, Reunion, Seychelles, Sri Lanka, Tadjikistan, Turkmenistan, Uzbekistan, Vietnam, Yemen</w:t>
      </w:r>
    </w:p>
    <w:p w:rsidR="00000000" w:rsidDel="00000000" w:rsidP="00000000" w:rsidRDefault="00000000" w:rsidRPr="00000000" w14:paraId="0000005E">
      <w:pPr>
        <w:jc w:val="both"/>
        <w:rPr>
          <w:sz w:val="20"/>
          <w:szCs w:val="20"/>
        </w:rPr>
      </w:pPr>
      <w:r w:rsidDel="00000000" w:rsidR="00000000" w:rsidRPr="00000000">
        <w:rPr>
          <w:sz w:val="20"/>
          <w:szCs w:val="20"/>
          <w:rtl w:val="0"/>
        </w:rPr>
        <w:t xml:space="preserve">Africa, America Centrala şi de Sud, Mexic: Africa Centrala, Africa De Sud, Angola, Antigua Barbados, Antilele Olandeze,</w:t>
      </w:r>
    </w:p>
    <w:p w:rsidR="00000000" w:rsidDel="00000000" w:rsidP="00000000" w:rsidRDefault="00000000" w:rsidRPr="00000000" w14:paraId="0000005F">
      <w:pPr>
        <w:jc w:val="both"/>
        <w:rPr>
          <w:sz w:val="20"/>
          <w:szCs w:val="20"/>
        </w:rPr>
      </w:pPr>
      <w:r w:rsidDel="00000000" w:rsidR="00000000" w:rsidRPr="00000000">
        <w:rPr>
          <w:sz w:val="20"/>
          <w:szCs w:val="20"/>
          <w:rtl w:val="0"/>
        </w:rPr>
        <w:t xml:space="preserve">Argentina, Aruba, Bahamas, Barbados, Belize, Benin, Bolivia, Botswana, Brazilia, Burkina Faso,Burundi, Camerun, Cape Verde, Chile, Ciad, Coasta Fildes, Columbia, Congo, Costa Rica, Dominica, Ecuador, El Salvador, Eritreea, Etiopia, Gabon, Gambia, Ghana, Grenada, Guatemala, Guineea Ecuat, Guyana, Haiti, Honduras, Ins Bermude, Kenya, Lesotho, Madagascar, Malawi, Mali, Mauritania, Mexic, Montserrat, Mozambic, Namibia, Nicaragua, Niger, Nigeria, Panama, Paraguay, Peru, Rep Dem Congo, Rep Dominicana, Rwanda, Senegal, Sierra Leone, St Kitts Nevis, St Lucia, St Pierre Miq, St Vincent, Sudan, Surinam, Swaziland, Tanzania, Togo, Trinidad Tobago, Turks/Caicos, Uganda, Uruguay, Venezuela, Zambia, Zimbabwe</w:t>
      </w:r>
    </w:p>
    <w:p w:rsidR="00000000" w:rsidDel="00000000" w:rsidP="00000000" w:rsidRDefault="00000000" w:rsidRPr="00000000" w14:paraId="00000060">
      <w:pPr>
        <w:tabs>
          <w:tab w:val="left" w:leader="none" w:pos="1950"/>
        </w:tabs>
        <w:jc w:val="both"/>
        <w:rPr>
          <w:b w:val="1"/>
          <w:bCs w:val="1"/>
          <w:sz w:val="20"/>
          <w:szCs w:val="20"/>
        </w:rPr>
      </w:pPr>
      <w:r w:rsidDel="00000000" w:rsidR="00000000" w:rsidRPr="00000000">
        <w:rPr>
          <w:rtl w:val="0"/>
        </w:rPr>
      </w:r>
    </w:p>
    <w:p w:rsidR="00000000" w:rsidDel="00000000" w:rsidP="00000000" w:rsidRDefault="00000000" w:rsidRPr="00000000" w14:paraId="00000061">
      <w:pPr>
        <w:jc w:val="both"/>
        <w:rPr>
          <w:i w:val="1"/>
          <w:iCs w:val="1"/>
        </w:rPr>
      </w:pPr>
      <w:r w:rsidDel="00000000" w:rsidR="00000000" w:rsidRPr="00000000">
        <w:rPr>
          <w:i w:val="1"/>
          <w:iCs w:val="1"/>
          <w:sz w:val="18"/>
          <w:szCs w:val="18"/>
          <w:rtl w:val="0"/>
        </w:rPr>
        <w:t xml:space="preserve">Preturile sunt exprimate in euro si nu includ TVA. Primul minut este indivizibil. Tarifarea se realizează la secunda după primul minut.</w:t>
      </w:r>
      <w:bookmarkStart w:colFirst="0" w:colLast="0" w:name="30j0zll" w:id="0"/>
      <w:bookmarkEnd w:id="0"/>
      <w:bookmarkStart w:colFirst="0" w:colLast="0" w:name="gjdgxs" w:id="1"/>
      <w:bookmarkEnd w:id="1"/>
      <w:r w:rsidDel="00000000" w:rsidR="00000000" w:rsidRPr="00000000">
        <w:rPr>
          <w:i w:val="1"/>
          <w:iCs w:val="1"/>
          <w:sz w:val="18"/>
          <w:szCs w:val="18"/>
          <w:rtl w:val="0"/>
        </w:rPr>
        <w:t xml:space="preserve"> Pentru destinații care nu se afla in lista de tarife precum si pentru apeluri către servicii speciale sau premium si de satelit, tariful este de 10 euro/min</w:t>
      </w:r>
      <w:r w:rsidDel="00000000" w:rsidR="00000000" w:rsidRPr="00000000">
        <w:rPr>
          <w:i w:val="1"/>
          <w:iCs w:val="1"/>
          <w:rtl w:val="0"/>
        </w:rPr>
        <w:t xml:space="preserve">.</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sz w:val="20"/>
          <w:szCs w:val="20"/>
        </w:rPr>
      </w:pPr>
      <w:r w:rsidDel="00000000" w:rsidR="00000000" w:rsidRPr="00000000">
        <w:rPr>
          <w:sz w:val="20"/>
          <w:szCs w:val="20"/>
          <w:rtl w:val="0"/>
        </w:rPr>
        <w:t xml:space="preserve">Toate tarifele de mai sus fac obiectul plăților in echivalent RON la cursul BNR din ziua facturării. </w:t>
      </w:r>
    </w:p>
    <w:p w:rsidR="00000000" w:rsidDel="00000000" w:rsidP="00000000" w:rsidRDefault="00000000" w:rsidRPr="00000000" w14:paraId="00000064">
      <w:pPr>
        <w:tabs>
          <w:tab w:val="left" w:leader="none" w:pos="1950"/>
        </w:tabs>
        <w:jc w:val="both"/>
        <w:rPr>
          <w:b w:val="1"/>
          <w:bCs w:val="1"/>
          <w:sz w:val="20"/>
          <w:szCs w:val="20"/>
        </w:rPr>
      </w:pPr>
      <w:r w:rsidDel="00000000" w:rsidR="00000000" w:rsidRPr="00000000">
        <w:rPr>
          <w:rtl w:val="0"/>
        </w:rPr>
      </w:r>
    </w:p>
    <w:p w:rsidR="00000000" w:rsidDel="00000000" w:rsidP="00000000" w:rsidRDefault="00000000" w:rsidRPr="00000000" w14:paraId="00000065">
      <w:pPr>
        <w:tabs>
          <w:tab w:val="left" w:leader="none" w:pos="1950"/>
        </w:tabs>
        <w:jc w:val="both"/>
        <w:rPr>
          <w:b w:val="1"/>
          <w:bCs w:val="1"/>
          <w:sz w:val="20"/>
          <w:szCs w:val="20"/>
        </w:rPr>
      </w:pPr>
      <w:r w:rsidDel="00000000" w:rsidR="00000000" w:rsidRPr="00000000">
        <w:rPr>
          <w:rtl w:val="0"/>
        </w:rPr>
      </w:r>
    </w:p>
    <w:p w:rsidR="00000000" w:rsidDel="00000000" w:rsidP="00000000" w:rsidRDefault="00000000" w:rsidRPr="00000000" w14:paraId="00000066">
      <w:pPr>
        <w:tabs>
          <w:tab w:val="left" w:leader="none" w:pos="1950"/>
        </w:tabs>
        <w:jc w:val="both"/>
        <w:rPr>
          <w:b w:val="1"/>
          <w:bCs w:val="1"/>
          <w:sz w:val="20"/>
          <w:szCs w:val="20"/>
        </w:rPr>
      </w:pPr>
      <w:r w:rsidDel="00000000" w:rsidR="00000000" w:rsidRPr="00000000">
        <w:rPr>
          <w:rtl w:val="0"/>
        </w:rPr>
      </w:r>
    </w:p>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90"/>
        <w:gridCol w:w="3450"/>
        <w:tblGridChange w:id="0">
          <w:tblGrid>
            <w:gridCol w:w="6990"/>
            <w:gridCol w:w="34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jc w:val="both"/>
              <w:rPr>
                <w:b w:val="1"/>
                <w:bCs w:val="1"/>
                <w:sz w:val="20"/>
                <w:szCs w:val="20"/>
              </w:rPr>
            </w:pPr>
            <w:r w:rsidDel="00000000" w:rsidR="00000000" w:rsidRPr="00000000">
              <w:rPr>
                <w:b w:val="1"/>
                <w:bCs w:val="1"/>
                <w:sz w:val="20"/>
                <w:szCs w:val="20"/>
                <w:rtl w:val="0"/>
              </w:rPr>
              <w:t xml:space="preserve">S.C. {{nume_firma}}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jc w:val="both"/>
              <w:rPr>
                <w:b w:val="1"/>
                <w:bCs w:val="1"/>
                <w:sz w:val="20"/>
                <w:szCs w:val="20"/>
              </w:rPr>
            </w:pPr>
            <w:r w:rsidDel="00000000" w:rsidR="00000000" w:rsidRPr="00000000">
              <w:rPr>
                <w:b w:val="1"/>
                <w:bCs w:val="1"/>
                <w:sz w:val="20"/>
                <w:szCs w:val="20"/>
                <w:rtl w:val="0"/>
              </w:rPr>
              <w:t xml:space="preserve">S.C. Voxbee SERVICES SRL,</w:t>
              <w:tab/>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jc w:val="both"/>
              <w:rPr>
                <w:b w:val="1"/>
                <w:bCs w:val="1"/>
                <w:sz w:val="20"/>
                <w:szCs w:val="20"/>
              </w:rPr>
            </w:pPr>
            <w:r w:rsidDel="00000000" w:rsidR="00000000" w:rsidRPr="00000000">
              <w:rPr>
                <w:sz w:val="20"/>
                <w:szCs w:val="20"/>
                <w:rtl w:val="0"/>
              </w:rPr>
              <w:t xml:space="preserve">{{calitate_in_societate}}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jc w:val="both"/>
              <w:rPr>
                <w:b w:val="1"/>
                <w:bCs w:val="1"/>
                <w:sz w:val="20"/>
                <w:szCs w:val="20"/>
              </w:rPr>
            </w:pPr>
            <w:r w:rsidDel="00000000" w:rsidR="00000000" w:rsidRPr="00000000">
              <w:rPr>
                <w:sz w:val="20"/>
                <w:szCs w:val="20"/>
                <w:rtl w:val="0"/>
              </w:rPr>
              <w:t xml:space="preserve">Administrator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jc w:val="both"/>
              <w:rPr>
                <w:b w:val="1"/>
                <w:bCs w:val="1"/>
                <w:sz w:val="20"/>
                <w:szCs w:val="20"/>
              </w:rPr>
            </w:pPr>
            <w:r w:rsidDel="00000000" w:rsidR="00000000" w:rsidRPr="00000000">
              <w:rPr>
                <w:sz w:val="20"/>
                <w:szCs w:val="20"/>
                <w:rtl w:val="0"/>
              </w:rPr>
              <w:t xml:space="preserve">{{nume_administrator}}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jc w:val="both"/>
              <w:rPr>
                <w:b w:val="1"/>
                <w:bCs w:val="1"/>
                <w:sz w:val="20"/>
                <w:szCs w:val="20"/>
              </w:rPr>
            </w:pPr>
            <w:r w:rsidDel="00000000" w:rsidR="00000000" w:rsidRPr="00000000">
              <w:rPr>
                <w:sz w:val="20"/>
                <w:szCs w:val="20"/>
                <w:rtl w:val="0"/>
              </w:rPr>
              <w:t xml:space="preserve">Victor Gabriel Mihai</w:t>
              <w:tab/>
            </w:r>
            <w:r w:rsidDel="00000000" w:rsidR="00000000" w:rsidRPr="00000000">
              <w:rPr>
                <w:rtl w:val="0"/>
              </w:rPr>
            </w:r>
          </w:p>
        </w:tc>
      </w:tr>
    </w:tbl>
    <w:p w:rsidR="00000000" w:rsidDel="00000000" w:rsidP="00000000" w:rsidRDefault="00000000" w:rsidRPr="00000000" w14:paraId="0000006D">
      <w:pPr>
        <w:jc w:val="both"/>
        <w:rPr>
          <w:sz w:val="20"/>
          <w:szCs w:val="20"/>
        </w:rPr>
      </w:pPr>
      <w:r w:rsidDel="00000000" w:rsidR="00000000" w:rsidRPr="00000000">
        <w:rPr>
          <w:sz w:val="20"/>
          <w:szCs w:val="20"/>
          <w:rtl w:val="0"/>
        </w:rPr>
        <w:tab/>
        <w:tab/>
        <w:tab/>
        <w:tab/>
        <w:tab/>
        <w:tab/>
        <w:tab/>
        <w:tab/>
      </w:r>
    </w:p>
    <w:p w:rsidR="00000000" w:rsidDel="00000000" w:rsidP="00000000" w:rsidRDefault="00000000" w:rsidRPr="00000000" w14:paraId="0000006E">
      <w:pPr>
        <w:rPr/>
      </w:pPr>
      <w:r w:rsidDel="00000000" w:rsidR="00000000" w:rsidRPr="00000000">
        <w:rPr>
          <w:rtl w:val="0"/>
        </w:rPr>
      </w:r>
    </w:p>
    <w:sectPr>
      <w:headerReference r:id="rId6" w:type="default"/>
      <w:footerReference r:id="rId7" w:type="default"/>
      <w:pgSz w:h="16838" w:w="11906" w:orient="portrait"/>
      <w:pgMar w:bottom="720" w:top="1883" w:left="720" w:right="720" w:header="708" w:footer="9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sz w:val="20"/>
        <w:szCs w:val="20"/>
      </w:rPr>
    </w:pPr>
    <w:r w:rsidDel="00000000" w:rsidR="00000000" w:rsidRPr="00000000">
      <w:rPr>
        <w:sz w:val="20"/>
        <w:szCs w:val="20"/>
      </w:rPr>
      <w:pict>
        <v:shape id="WordPictureWatermark1" style="position:absolute;width:128.54740157480313pt;height:121.44535433070867pt;rotation:0;z-index:-503316481;mso-position-horizontal-relative:margin;mso-position-horizontal:absolute;margin-left:-54.67236220472441pt;mso-position-vertical-relative:margin;mso-position-vertical:absolute;margin-top:-94.75pt;" alt="" type="#_x0000_t75">
          <v:imagedata blacklevel="22938f" cropbottom="0f" cropleft="0f" cropright="0f" croptop="0f" gain="19661f" r:id="rId1" o:title="image1.png"/>
        </v:shape>
      </w:pict>
    </w:r>
    <w:r w:rsidDel="00000000" w:rsidR="00000000" w:rsidRPr="00000000">
      <w:rPr>
        <w:sz w:val="20"/>
        <w:szCs w:val="20"/>
        <w:rtl w:val="0"/>
      </w:rPr>
      <w:t xml:space="preserve">Voxbee Services</w:t>
    </w:r>
  </w:p>
  <w:p w:rsidR="00000000" w:rsidDel="00000000" w:rsidP="00000000" w:rsidRDefault="00000000" w:rsidRPr="00000000" w14:paraId="00000070">
    <w:pPr>
      <w:rPr>
        <w:sz w:val="20"/>
        <w:szCs w:val="20"/>
      </w:rPr>
    </w:pPr>
    <w:r w:rsidDel="00000000" w:rsidR="00000000" w:rsidRPr="00000000">
      <w:rPr>
        <w:sz w:val="20"/>
        <w:szCs w:val="20"/>
        <w:rtl w:val="0"/>
      </w:rPr>
      <w:tab/>
      <w:tab/>
      <w:t xml:space="preserve">           Str. Labirint Nr. 127, sector 3, Bucuresti</w:t>
    </w:r>
  </w:p>
  <w:p w:rsidR="00000000" w:rsidDel="00000000" w:rsidP="00000000" w:rsidRDefault="00000000" w:rsidRPr="00000000" w14:paraId="00000071">
    <w:pPr>
      <w:rPr>
        <w:sz w:val="20"/>
        <w:szCs w:val="20"/>
      </w:rPr>
    </w:pPr>
    <w:r w:rsidDel="00000000" w:rsidR="00000000" w:rsidRPr="00000000">
      <w:rPr>
        <w:sz w:val="20"/>
        <w:szCs w:val="20"/>
        <w:rtl w:val="0"/>
      </w:rPr>
      <w:tab/>
      <w:tab/>
      <w:tab/>
      <w:t xml:space="preserve">J40/21405/2022</w:t>
    </w:r>
  </w:p>
  <w:p w:rsidR="00000000" w:rsidDel="00000000" w:rsidP="00000000" w:rsidRDefault="00000000" w:rsidRPr="00000000" w14:paraId="00000072">
    <w:pPr>
      <w:rPr/>
    </w:pPr>
    <w:r w:rsidDel="00000000" w:rsidR="00000000" w:rsidRPr="00000000">
      <w:rPr>
        <w:sz w:val="20"/>
        <w:szCs w:val="20"/>
        <w:rtl w:val="0"/>
      </w:rPr>
      <w:tab/>
      <w:t xml:space="preserve">CUI 47079923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US"/>
      </w:rPr>
    </w:rPrDefault>
    <w:pPrDefault>
      <w:pPr>
        <w:jc w:val="righ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jc w:val="both"/>
    </w:pPr>
    <w:rPr>
      <w:rFonts w:ascii="Arial" w:cs="Arial" w:eastAsia="Arial" w:hAnsi="Arial"/>
      <w:b w:val="1"/>
      <w:bCs w:val="1"/>
      <w:color w:val="000000"/>
      <w:sz w:val="40"/>
      <w:szCs w:val="4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jc w:val="right"/>
    </w:pPr>
    <w:tblPr>
      <w:tblStyleRowBandSize w:val="1"/>
      <w:tblStyleColBandSize w:val="1"/>
    </w:tblPr>
  </w:style>
  <w:style w:type="table" w:styleId="Table2">
    <w:basedOn w:val="TableNormal"/>
    <w:pPr>
      <w:spacing w:after="0" w:line="240" w:lineRule="auto"/>
      <w:jc w:val="right"/>
    </w:pPr>
    <w:tblPr>
      <w:tblStyleRowBandSize w:val="1"/>
      <w:tblStyleColBandSize w:val="1"/>
    </w:tblPr>
  </w:style>
  <w:style w:type="table" w:styleId="Table3">
    <w:basedOn w:val="TableNormal"/>
    <w:pPr>
      <w:spacing w:after="0" w:line="240" w:lineRule="auto"/>
      <w:jc w:val="right"/>
    </w:p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